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rFonts w:ascii="Garamond" w:hAnsi="Garamond" w:cs="Garamond"/>
          <w:b/>
          <w:sz w:val="30"/>
          <w:szCs w:val="30"/>
        </w:rPr>
      </w:pPr>
      <w:r>
        <w:rPr>
          <w:rFonts w:cs="Garamond" w:ascii="Garamond" w:hAnsi="Garamond"/>
          <w:b/>
          <w:sz w:val="30"/>
          <w:szCs w:val="30"/>
        </w:rPr>
      </w:r>
    </w:p>
    <w:p>
      <w:pPr>
        <w:pStyle w:val="Header"/>
        <w:jc w:val="center"/>
        <w:rPr>
          <w:rFonts w:ascii="Garamond" w:hAnsi="Garamond" w:cs="Garamond"/>
          <w:b/>
          <w:sz w:val="30"/>
          <w:szCs w:val="30"/>
        </w:rPr>
      </w:pPr>
      <w:r>
        <w:rPr>
          <w:rFonts w:cs="Garamond" w:ascii="Garamond" w:hAnsi="Garamond"/>
          <w:b/>
          <w:sz w:val="30"/>
          <w:szCs w:val="30"/>
        </w:rPr>
      </w:r>
    </w:p>
    <w:p>
      <w:pPr>
        <w:pStyle w:val="Header"/>
        <w:jc w:val="center"/>
        <w:rPr>
          <w:rFonts w:ascii="Garamond" w:hAnsi="Garamond" w:cs="Garamond"/>
          <w:b/>
          <w:sz w:val="30"/>
          <w:szCs w:val="30"/>
        </w:rPr>
      </w:pPr>
      <w:r>
        <w:rPr>
          <w:rFonts w:cs="Garamond" w:ascii="Garamond" w:hAnsi="Garamond"/>
          <w:b/>
          <w:sz w:val="30"/>
          <w:szCs w:val="30"/>
        </w:rPr>
      </w:r>
    </w:p>
    <w:p>
      <w:pPr>
        <w:pStyle w:val="Header"/>
        <w:jc w:val="center"/>
        <w:rPr>
          <w:rFonts w:ascii="Garamond" w:hAnsi="Garamond" w:cs="Garamond"/>
          <w:b/>
          <w:sz w:val="30"/>
          <w:szCs w:val="30"/>
        </w:rPr>
      </w:pPr>
      <w:r>
        <w:rPr>
          <w:rFonts w:cs="Garamond" w:ascii="Garamond" w:hAnsi="Garamond"/>
          <w:b/>
          <w:sz w:val="30"/>
          <w:szCs w:val="30"/>
        </w:rPr>
      </w:r>
    </w:p>
    <w:p>
      <w:pPr>
        <w:pStyle w:val="Header"/>
        <w:jc w:val="center"/>
        <w:rPr/>
      </w:pPr>
      <w:r>
        <w:rPr>
          <w:rFonts w:cs="Garamond" w:ascii="Garamond" w:hAnsi="Garamond"/>
          <w:b/>
          <w:sz w:val="30"/>
          <w:szCs w:val="30"/>
        </w:rPr>
        <w:t>ASSESSORATO DELL’AGRICOLTURA, DELLO SVILUPPO RURALE E DELLA PESCA MEDITERRANEA</w:t>
      </w:r>
    </w:p>
    <w:p>
      <w:pPr>
        <w:pStyle w:val="Normal"/>
        <w:keepNext w:val="true"/>
        <w:keepLines/>
        <w:jc w:val="center"/>
        <w:rPr/>
      </w:pPr>
      <w:r>
        <w:rPr>
          <w:rFonts w:cs="Garamond" w:ascii="Garamond" w:hAnsi="Garamond"/>
          <w:b/>
          <w:sz w:val="30"/>
          <w:szCs w:val="30"/>
        </w:rPr>
        <w:t>DIPARTIMENTO DELL’AGRICOLTURA</w:t>
      </w:r>
    </w:p>
    <w:p>
      <w:pPr>
        <w:pStyle w:val="Normal"/>
        <w:keepNext w:val="true"/>
        <w:keepLines/>
        <w:spacing w:before="400" w:after="0"/>
        <w:jc w:val="center"/>
        <w:rPr/>
      </w:pPr>
      <w:r>
        <w:rPr>
          <w:rFonts w:cs="Garamond" w:ascii="Garamond" w:hAnsi="Garamond"/>
          <w:sz w:val="30"/>
          <w:szCs w:val="30"/>
        </w:rPr>
        <w:t>SERVIZIO 3</w:t>
      </w:r>
    </w:p>
    <w:p>
      <w:pPr>
        <w:pStyle w:val="Normal"/>
        <w:keepNext w:val="true"/>
        <w:keepLines/>
        <w:jc w:val="center"/>
        <w:rPr/>
      </w:pPr>
      <w:r>
        <w:rPr>
          <w:rFonts w:cs="Garamond" w:ascii="Garamond" w:hAnsi="Garamond"/>
          <w:sz w:val="30"/>
          <w:szCs w:val="30"/>
        </w:rPr>
        <w:t>MULTIFUNZIONALITÀ E DIVERSIFICAZIONE IN AGRICOLTURA – LEADER</w:t>
      </w:r>
    </w:p>
    <w:p>
      <w:pPr>
        <w:pStyle w:val="Normal"/>
        <w:keepNext w:val="true"/>
        <w:keepLines/>
        <w:spacing w:before="600" w:after="0"/>
        <w:jc w:val="center"/>
        <w:rPr/>
      </w:pPr>
      <w:r>
        <w:rPr>
          <w:rFonts w:cs="Garamond" w:ascii="Garamond" w:hAnsi="Garamond"/>
          <w:sz w:val="30"/>
          <w:szCs w:val="30"/>
        </w:rPr>
        <w:t xml:space="preserve">ALLEGATO </w:t>
      </w:r>
      <w:r>
        <w:rPr>
          <w:rFonts w:cs="Garamond" w:ascii="Garamond" w:hAnsi="Garamond"/>
          <w:sz w:val="30"/>
          <w:szCs w:val="30"/>
        </w:rPr>
        <w:t>B</w:t>
      </w:r>
      <w:r>
        <w:rPr>
          <w:rFonts w:cs="Garamond" w:ascii="Garamond" w:hAnsi="Garamond"/>
          <w:sz w:val="30"/>
          <w:szCs w:val="30"/>
        </w:rPr>
        <w:t xml:space="preserve"> AL</w:t>
      </w:r>
      <w:r>
        <w:rPr>
          <w:rFonts w:cs="Garamond" w:ascii="Garamond" w:hAnsi="Garamond"/>
          <w:sz w:val="30"/>
          <w:szCs w:val="30"/>
        </w:rPr>
        <w:t>LE LINEE GUIDA DEL</w:t>
      </w:r>
      <w:r>
        <w:rPr>
          <w:rFonts w:cs="Garamond" w:ascii="Garamond" w:hAnsi="Garamond"/>
          <w:sz w:val="30"/>
          <w:szCs w:val="30"/>
        </w:rPr>
        <w:t xml:space="preserve">L’INTERVENTO SRG06 – LEADER – ATTUAZIONE DELLE STRATEGIE DI SVILUPPO LOCALE </w:t>
      </w:r>
    </w:p>
    <w:p>
      <w:pPr>
        <w:pStyle w:val="Normal"/>
        <w:keepNext w:val="true"/>
        <w:keepLines/>
        <w:spacing w:before="400" w:after="0"/>
        <w:jc w:val="center"/>
        <w:rPr/>
      </w:pPr>
      <w:r>
        <w:rPr>
          <w:rFonts w:cs="Garamond" w:ascii="Garamond" w:hAnsi="Garamond"/>
          <w:sz w:val="30"/>
          <w:szCs w:val="30"/>
        </w:rPr>
        <w:t>Tipo di intervento: COOP (77) – Cooperazione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PIANO PLURIENNALE DI ANIMAZIONE E COMUNICAZIONE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(Bando intervento SRG06 Azione B - paragrafo 7.3 – Impegni)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GAL _____________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  <w:r>
        <w:br w:type="page"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Indice del Piano di animazione e comunicazione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Premessa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Target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Obiettivi specifici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Contenuti e messaggi chiave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Animazione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Attività, canali e strumenti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Risorse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Monitoraggio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Diagramma di GANTT delle attività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</w:t>
      </w:r>
      <w:r>
        <w:rPr>
          <w:rFonts w:cs="Times New Roman" w:ascii="Times New Roman" w:hAnsi="Times New Roman"/>
          <w:b/>
          <w:bCs/>
        </w:rPr>
        <w:t>Premessa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Descrivere il contesto normativo e operativo in cui si colloca l’azione del Piano di animazione e comunicazione, inteso come relazione con i Programma di sviluppo locale di riferimento, i suoi contenuti e i suoi obiettivi. Descrivere sinteticamente la strategia, gli obiettivi e le modalità di attuazione del Piano do animazione e comunicazione, che saranno declinati nei successivi capitoli. Il Piano ha una valenza ed una declinazione pluriennale, per il periodo 2025-2028.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</w:t>
      </w:r>
      <w:r>
        <w:rPr>
          <w:rFonts w:cs="Times New Roman" w:ascii="Times New Roman" w:hAnsi="Times New Roman"/>
          <w:b/>
          <w:bCs/>
        </w:rPr>
        <w:t>Target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Elencare gli interlocutori (pubblico) di riferimento, raggruppandoli in eventuali sotto-categorie (es. Stakeholder, beneficiari potenziali, beneficiari, cittadinanza, associati, media, ecc.) e descrivere sinteticamente il loro ruolo nei confronti della Strategia e del Piano di Azione e le ragioni per cui vengono indicati nel Piano (es. Cittadinanza, Beneficiari attuali e potenziali, Partenariato, ecc.). Descrivere le caratteristiche di ciascun Target e i principali contenuti che saranno loro indirizzati.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</w:t>
      </w:r>
      <w:r>
        <w:rPr>
          <w:rFonts w:cs="Times New Roman" w:ascii="Times New Roman" w:hAnsi="Times New Roman"/>
          <w:b/>
          <w:bCs/>
        </w:rPr>
        <w:t>Obiettivi specifici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Elencare e definire gli obiettivi specifici che guideranno il Piano, anche con riferimento ai diversi target. Indicare se il singolo obiettivo riguarda l’ambito della comunicazione, dell’animazione o entrambe.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La definizione posta in termini di cambiamento (ad es. “aumentare”, “accrescere”, “migliorare”, “diminuire”, “ridurre”), deve essere breve e precisa e potrà essere eventualmente approfondita in una sezione più dettagliata. La descrizione deve riferirsi a un solo obiettivo. È possibile rappresentare eventualmente anche utilizzando schemi o diagrammi.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4. </w:t>
      </w:r>
      <w:r>
        <w:rPr>
          <w:rFonts w:cs="Times New Roman" w:ascii="Times New Roman" w:hAnsi="Times New Roman"/>
          <w:b/>
          <w:bCs/>
        </w:rPr>
        <w:t>Contenuti e messaggi-chiave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Definire e descrivere i principali </w:t>
      </w:r>
      <w:r>
        <w:rPr>
          <w:rFonts w:cs="Times New Roman" w:ascii="Times New Roman" w:hAnsi="Times New Roman"/>
          <w:i/>
          <w:iCs/>
          <w:u w:val="single"/>
        </w:rPr>
        <w:t xml:space="preserve">contenuti, </w:t>
      </w:r>
      <w:r>
        <w:rPr>
          <w:rFonts w:cs="Times New Roman" w:ascii="Times New Roman" w:hAnsi="Times New Roman"/>
          <w:i/>
          <w:iCs/>
        </w:rPr>
        <w:t xml:space="preserve">legati soprattutto agli “ambiti tematici”/”obiettivi locali” del Piano di Azione, che saranno al centro delle attività di comunicazione e animazione (es. servizi per il territorio, servizi per l’infanzia, ecc.). Descrivere i </w:t>
      </w:r>
      <w:r>
        <w:rPr>
          <w:rFonts w:cs="Times New Roman" w:ascii="Times New Roman" w:hAnsi="Times New Roman"/>
          <w:i/>
          <w:iCs/>
          <w:u w:val="single"/>
        </w:rPr>
        <w:t>messaggi chiave</w:t>
      </w:r>
      <w:r>
        <w:rPr>
          <w:rFonts w:cs="Times New Roman" w:ascii="Times New Roman" w:hAnsi="Times New Roman"/>
          <w:i/>
          <w:iCs/>
        </w:rPr>
        <w:t xml:space="preserve"> e gli eventuali </w:t>
      </w:r>
      <w:r>
        <w:rPr>
          <w:rFonts w:cs="Times New Roman" w:ascii="Times New Roman" w:hAnsi="Times New Roman"/>
          <w:i/>
          <w:iCs/>
          <w:u w:val="single"/>
        </w:rPr>
        <w:t>claim</w:t>
      </w:r>
      <w:r>
        <w:rPr>
          <w:rFonts w:cs="Times New Roman" w:ascii="Times New Roman" w:hAnsi="Times New Roman"/>
          <w:i/>
          <w:iCs/>
        </w:rPr>
        <w:t xml:space="preserve"> che si intendono veicolare e che caratterizzeranno le attività di comunicazione e animazione.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5. </w:t>
      </w:r>
      <w:r>
        <w:rPr>
          <w:rFonts w:cs="Times New Roman" w:ascii="Times New Roman" w:hAnsi="Times New Roman"/>
          <w:b/>
          <w:bCs/>
        </w:rPr>
        <w:t>Animazione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L’animazione va intesa come quell’attività che mira a favorire il coinvolgimento della società civile, degli enti, delle istituzioni e delle imprese, nell’attuazione delle SSL, anche al fine di </w:t>
      </w:r>
      <w:r>
        <w:rPr>
          <w:rFonts w:cs="Times New Roman" w:ascii="Times New Roman" w:hAnsi="Times New Roman"/>
          <w:i/>
          <w:iCs/>
          <w:u w:val="single"/>
        </w:rPr>
        <w:t xml:space="preserve">sviluppare la capacità degli operatori locali di elaborare e attuare progetti.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Descrivere specificamente come si intendono attuare le attività di animazione, dettagliandone le modalità di attuazione e le caratteristiche. Le attività che saranno dedicate all’animazione andranno indicate in modo specifico nello schema comune.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6. </w:t>
      </w:r>
      <w:r>
        <w:rPr>
          <w:rFonts w:cs="Times New Roman" w:ascii="Times New Roman" w:hAnsi="Times New Roman"/>
          <w:b/>
          <w:bCs/>
        </w:rPr>
        <w:t xml:space="preserve">Attività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Descrivere le attività e i relativi canali e/o strumenti che, in generale, si intendono attivare e/o realizzare per dare esecuzione al Piano.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Descrivere le modalità con cui saranno attuate le attività e i format che si prevede di utilizzare.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Descrivere le modalità con le quali le attività e i diversi canali/strumenti interagiranno tra loro e/o descrivere eventuali “campagne” o “progetti” che si vogliono attivare (intesi come attività complesse che attivano una molteplicità di canali/strumenti attorno ad un tema specifico).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Questa parte comprende una breve descrizione generale delle attività e una descrizione specifica sulla base del seguente </w:t>
      </w:r>
      <w:r>
        <w:rPr>
          <w:rFonts w:cs="Times New Roman" w:ascii="Times New Roman" w:hAnsi="Times New Roman"/>
          <w:b/>
          <w:bCs/>
          <w:i/>
          <w:iCs/>
        </w:rPr>
        <w:t>schema comune.</w:t>
      </w:r>
      <w:r>
        <w:rPr>
          <w:rFonts w:cs="Times New Roman" w:ascii="Times New Roman" w:hAnsi="Times New Roman"/>
          <w:i/>
          <w:iCs/>
        </w:rPr>
        <w:t xml:space="preserve"> All’interno dello schema comune, ogni singola attività può essere declinata in più contenuti.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6514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Aree di attività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Contenuto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Web e social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inerenti la comunicazione digitale, come ad esempio: attivazione e aggiornamento di siti web; attivazione e aggiornamento di canali social; creazione e diffusione di newsletter e bollettini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Eventi e incontri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inerenti all’organizzazione di eventi, incontri pubblici, workshop mirati a sostenere la diffusione e l’esecuzione dei PdA (analoghe attività, pensate specificamente per l’animazione del territorio vanno inserite nella sezione apposita)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Campagne pubblicitarie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di pianificazione e acquisto di spazi pubblicitari su media tradizionali e/o digitali. Ad esempio: inserzioni su quotidiani e periodici (versione cartacea); acquisto di banner e spazi su quotidiani e periodici (versione online); acquisto di spazi pubblicitari su tv e radio, sia in forma di spot che di “speciali” redazionali; attivazioni di campagne sponsorizzate sui canali social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Ufficio stampa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di ufficio stampa, consistente nella redazione e diffusione di comunicati stampa, creazione di un database dei media, organizzazione di conferenze stampa, press tour o altre iniziative dedicate ai rappresentanti dei media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Materiali e pubblicazioni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di ideazione e realizzazione di materiali promozionali (dépliant, flyers, poster, ecc.), di materiali per eventi (banner, roll up, pannellature, ecc.), di gadget (agende, calendari, articoli personalizzati, ecc.) e di pubblicazioni (libri, brochure, ecc.)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Video e prodotti multimediali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le attività di progettazione e realizzazione di video e prodotti multimediali, indicando eventualmente le tipologie di prodotti che si intendono realizzare, i contenuti che si intendono veicolare e le modalità con cui saranno inclusi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it-IT" w:eastAsia="en-US" w:bidi="ar-SA"/>
              </w:rPr>
              <w:t>Altre attività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4"/>
                <w:szCs w:val="24"/>
                <w:lang w:val="it-IT" w:eastAsia="en-US" w:bidi="ar-SA"/>
              </w:rPr>
              <w:t>Descrivere eventuali altre attività che non rientrano nelle categorie sopra indicate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7. </w:t>
      </w:r>
      <w:r>
        <w:rPr>
          <w:rFonts w:cs="Times New Roman" w:ascii="Times New Roman" w:hAnsi="Times New Roman"/>
          <w:b/>
          <w:bCs/>
        </w:rPr>
        <w:t>Risorse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Descrivere la ripartizione indicativa delle risorse per aree di attività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6"/>
        <w:gridCol w:w="1277"/>
        <w:gridCol w:w="1275"/>
        <w:gridCol w:w="1442"/>
        <w:gridCol w:w="1543"/>
        <w:gridCol w:w="1544"/>
      </w:tblGrid>
      <w:tr>
        <w:trPr/>
        <w:tc>
          <w:tcPr>
            <w:tcW w:w="254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Aree di attività</w:t>
            </w:r>
          </w:p>
        </w:tc>
        <w:tc>
          <w:tcPr>
            <w:tcW w:w="7081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Risorse programmate (euro)</w:t>
            </w:r>
          </w:p>
        </w:tc>
      </w:tr>
      <w:tr>
        <w:trPr/>
        <w:tc>
          <w:tcPr>
            <w:tcW w:w="25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it-IT" w:eastAsia="en-US" w:bidi="ar-SA"/>
              </w:rPr>
              <w:t>2025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it-IT" w:eastAsia="en-US" w:bidi="ar-SA"/>
              </w:rPr>
              <w:t>2026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it-IT" w:eastAsia="en-US" w:bidi="ar-SA"/>
              </w:rPr>
              <w:t>2027</w:t>
            </w:r>
          </w:p>
        </w:tc>
        <w:tc>
          <w:tcPr>
            <w:tcW w:w="15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it-IT" w:eastAsia="en-US" w:bidi="ar-SA"/>
              </w:rPr>
              <w:t>2028</w:t>
            </w:r>
          </w:p>
        </w:tc>
        <w:tc>
          <w:tcPr>
            <w:tcW w:w="15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2"/>
                <w:sz w:val="22"/>
                <w:szCs w:val="22"/>
                <w:lang w:val="it-IT" w:eastAsia="en-US" w:bidi="ar-SA"/>
              </w:rPr>
              <w:t>2029</w:t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Web e social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Eventi e incontri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Campagne pubblicitarie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Ufficio stampa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Materiali e pubblicazioni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Video e prodotti multimediali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Altre attività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TOTALE annualità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it-IT" w:eastAsia="en-US" w:bidi="ar-SA"/>
              </w:rPr>
              <w:t>TOTALE COMPLESSIVO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Spese ammesse Sotto-intervento B, sotto-azione B2: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Informazione, comunicazione, pubblicità e trasparenza legate all’implementazione delle SSL (realizzazione e aggiornamento del sito internet del GAL, campagne di informazione, pubblicazioni cartacee/digitali, targhe informative, ecc.);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Progettazione degli interventi legati alla Strategia integrata di Sviluppo Locale;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Realizzazione e divulgazione di studi, ricerche e materiale informativo.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 </w:t>
      </w:r>
      <w:r>
        <w:rPr>
          <w:rFonts w:cs="Times New Roman" w:ascii="Times New Roman" w:hAnsi="Times New Roman"/>
          <w:b/>
          <w:bCs/>
        </w:rPr>
        <w:t>Monitoraggio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Descrivere il sistema di monitoraggio delle attività e dei risultati ottenuti dal Piano di animazione e comunicazione. In particolare, vanno descritti i principali </w:t>
      </w:r>
      <w:r>
        <w:rPr>
          <w:rFonts w:cs="Times New Roman" w:ascii="Times New Roman" w:hAnsi="Times New Roman"/>
          <w:b/>
          <w:bCs/>
          <w:i/>
          <w:iCs/>
        </w:rPr>
        <w:t xml:space="preserve">indicatori </w:t>
      </w:r>
      <w:r>
        <w:rPr>
          <w:rFonts w:cs="Times New Roman" w:ascii="Times New Roman" w:hAnsi="Times New Roman"/>
          <w:i/>
          <w:iCs/>
        </w:rPr>
        <w:t xml:space="preserve">che si intendono monitorare, le modalità di reperimento dei dati e le modalità di restituzione del monitoraggio.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 xml:space="preserve">9. </w:t>
      </w:r>
      <w:r>
        <w:rPr>
          <w:rFonts w:cs="Times New Roman" w:ascii="Times New Roman" w:hAnsi="Times New Roman"/>
          <w:b/>
          <w:bCs/>
        </w:rPr>
        <w:t>GANTT delle attività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Allegare un diagramma GANTT delle attività previste.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 xml:space="preserve">Il prospetto GANTT illustra in una prospettiva pluriennale le attività specifiche che si prevedono attivare annualmente nelle principali aree d’attività individuate (par. 6), sulla base del cronoprogramma dei bandi trasmesso all’AdGr e una proiezione del quadro di azioni previste per il raggiungimento degli obbiettivi prefissati (par. 3). </w:t>
      </w:r>
    </w:p>
    <w:p>
      <w:pPr>
        <w:pStyle w:val="Normal"/>
        <w:spacing w:before="0" w:after="16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5857875" cy="37655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5857875" cy="37655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a9220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a9220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a9220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a9220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a9220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a9220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a9220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a9220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a9220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a9220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a9220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a9220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a92209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a92209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a92209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a92209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a92209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a92209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a9220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a9220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a9220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92209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a9220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92209"/>
    <w:rPr>
      <w:b/>
      <w:bCs/>
      <w:smallCaps/>
      <w:color w:themeColor="accent1" w:themeShade="bf" w:val="2F5496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4912aa"/>
    <w:rPr/>
  </w:style>
  <w:style w:type="character" w:styleId="PidipaginaCarattere" w:customStyle="1">
    <w:name w:val="Piè di pagina Carattere"/>
    <w:basedOn w:val="DefaultParagraphFont"/>
    <w:uiPriority w:val="99"/>
    <w:qFormat/>
    <w:rsid w:val="004912aa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a9220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a9220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a9220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9220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a92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4912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912a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a508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LibreOffice/24.2.1.2$Windows_X86_64 LibreOffice_project/db4def46b0453cc22e2d0305797cf981b68ef5ac</Application>
  <AppVersion>15.0000</AppVersion>
  <Pages>5</Pages>
  <Words>1014</Words>
  <Characters>6404</Characters>
  <CharactersWithSpaces>7350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2025-11-13T09:21:00Z</dcterms:created>
  <dc:creator>Maruzza Cupane</dc:creator>
  <dc:description/>
  <dc:language>it-IT</dc:language>
  <cp:lastModifiedBy/>
  <dcterms:modified xsi:type="dcterms:W3CDTF">2026-06-18T11:49:49Z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