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7" w:type="dxa"/>
        <w:jc w:val="center"/>
        <w:tblLayout w:type="fixed"/>
        <w:tblLook w:val="0000" w:firstRow="0" w:lastRow="0" w:firstColumn="0" w:lastColumn="0" w:noHBand="0" w:noVBand="0"/>
      </w:tblPr>
      <w:tblGrid>
        <w:gridCol w:w="3394"/>
        <w:gridCol w:w="3158"/>
        <w:gridCol w:w="3335"/>
      </w:tblGrid>
      <w:tr w:rsidR="00B37FF9" w:rsidRPr="00BB4113" w14:paraId="6571B1DC" w14:textId="77777777" w:rsidTr="00B37FF9">
        <w:trPr>
          <w:trHeight w:val="1833"/>
          <w:jc w:val="center"/>
        </w:trPr>
        <w:tc>
          <w:tcPr>
            <w:tcW w:w="3394" w:type="dxa"/>
            <w:vAlign w:val="center"/>
          </w:tcPr>
          <w:p w14:paraId="7DB37DAA" w14:textId="77777777" w:rsidR="00B37FF9" w:rsidRPr="00BB4113" w:rsidRDefault="00B37FF9" w:rsidP="00B37FF9">
            <w:pPr>
              <w:spacing w:after="0"/>
              <w:ind w:firstLine="22"/>
              <w:jc w:val="center"/>
            </w:pPr>
            <w:r w:rsidRPr="00BB4113">
              <w:rPr>
                <w:b/>
                <w:smallCaps/>
                <w:color w:val="000000"/>
                <w:sz w:val="12"/>
                <w:szCs w:val="12"/>
              </w:rPr>
              <w:t>UNIONE EUROPEA</w:t>
            </w:r>
          </w:p>
          <w:p w14:paraId="69E8D10D" w14:textId="77777777" w:rsidR="00B37FF9" w:rsidRPr="00BB4113" w:rsidRDefault="00B37FF9" w:rsidP="00B37FF9">
            <w:pPr>
              <w:spacing w:after="0"/>
              <w:ind w:firstLine="22"/>
              <w:jc w:val="center"/>
              <w:rPr>
                <w:b/>
                <w:smallCaps/>
                <w:color w:val="000000"/>
                <w:sz w:val="12"/>
                <w:szCs w:val="12"/>
              </w:rPr>
            </w:pPr>
            <w:r w:rsidRPr="00BB4113">
              <w:rPr>
                <w:b/>
                <w:smallCaps/>
                <w:noProof/>
                <w:color w:val="000000"/>
                <w:sz w:val="12"/>
                <w:szCs w:val="12"/>
              </w:rPr>
              <w:drawing>
                <wp:inline distT="0" distB="0" distL="0" distR="0" wp14:anchorId="677783F4" wp14:editId="6F0E1602">
                  <wp:extent cx="895350" cy="609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solidFill>
                            <a:srgbClr val="FFFFFF"/>
                          </a:solidFill>
                          <a:ln>
                            <a:noFill/>
                          </a:ln>
                        </pic:spPr>
                      </pic:pic>
                    </a:graphicData>
                  </a:graphic>
                </wp:inline>
              </w:drawing>
            </w:r>
          </w:p>
          <w:p w14:paraId="23A8C7F3" w14:textId="77777777" w:rsidR="00B37FF9" w:rsidRPr="00BB4113" w:rsidRDefault="00B37FF9" w:rsidP="00B37FF9">
            <w:pPr>
              <w:spacing w:after="0"/>
              <w:ind w:firstLine="22"/>
              <w:jc w:val="center"/>
              <w:rPr>
                <w:b/>
                <w:smallCaps/>
                <w:color w:val="000000"/>
                <w:sz w:val="12"/>
                <w:szCs w:val="12"/>
              </w:rPr>
            </w:pPr>
            <w:r w:rsidRPr="00BB4113">
              <w:rPr>
                <w:b/>
                <w:smallCaps/>
                <w:color w:val="000000"/>
                <w:sz w:val="12"/>
                <w:szCs w:val="12"/>
              </w:rPr>
              <w:t>FONDO EUROPEO AGRICOLO</w:t>
            </w:r>
          </w:p>
          <w:p w14:paraId="1D0B8228" w14:textId="77777777" w:rsidR="00B37FF9" w:rsidRPr="00BB4113" w:rsidRDefault="00B37FF9" w:rsidP="00B37FF9">
            <w:pPr>
              <w:spacing w:after="0"/>
              <w:ind w:firstLine="22"/>
              <w:jc w:val="center"/>
              <w:rPr>
                <w:b/>
                <w:smallCaps/>
                <w:color w:val="000000"/>
                <w:sz w:val="12"/>
                <w:szCs w:val="12"/>
              </w:rPr>
            </w:pPr>
            <w:r w:rsidRPr="00BB4113">
              <w:rPr>
                <w:b/>
                <w:smallCaps/>
                <w:color w:val="000000"/>
                <w:sz w:val="12"/>
                <w:szCs w:val="12"/>
              </w:rPr>
              <w:t>PER LO SVILUPPO RURALE:</w:t>
            </w:r>
          </w:p>
          <w:p w14:paraId="045D8259" w14:textId="30986B2B" w:rsidR="00B37FF9" w:rsidRPr="00BB4113" w:rsidRDefault="00B37FF9" w:rsidP="00B37FF9">
            <w:pPr>
              <w:spacing w:after="0"/>
              <w:ind w:firstLine="22"/>
              <w:jc w:val="center"/>
            </w:pPr>
            <w:r w:rsidRPr="00BB4113">
              <w:rPr>
                <w:b/>
                <w:smallCaps/>
                <w:color w:val="000000"/>
                <w:sz w:val="12"/>
                <w:szCs w:val="12"/>
              </w:rPr>
              <w:t>L</w:t>
            </w:r>
            <w:r>
              <w:rPr>
                <w:b/>
                <w:smallCaps/>
                <w:color w:val="000000"/>
                <w:sz w:val="12"/>
                <w:szCs w:val="12"/>
              </w:rPr>
              <w:t>’</w:t>
            </w:r>
            <w:r w:rsidRPr="00BB4113">
              <w:rPr>
                <w:b/>
                <w:smallCaps/>
                <w:color w:val="000000"/>
                <w:sz w:val="12"/>
                <w:szCs w:val="12"/>
              </w:rPr>
              <w:t>EUROPA INVESTE NELLE ZONE RURALI</w:t>
            </w:r>
          </w:p>
        </w:tc>
        <w:tc>
          <w:tcPr>
            <w:tcW w:w="3158" w:type="dxa"/>
            <w:vAlign w:val="center"/>
          </w:tcPr>
          <w:p w14:paraId="357244F7" w14:textId="77777777" w:rsidR="00B37FF9" w:rsidRPr="00BB4113" w:rsidRDefault="00B37FF9" w:rsidP="00B37FF9">
            <w:pPr>
              <w:spacing w:after="0"/>
              <w:ind w:firstLine="0"/>
              <w:jc w:val="center"/>
              <w:rPr>
                <w:b/>
                <w:smallCaps/>
                <w:sz w:val="12"/>
                <w:szCs w:val="12"/>
              </w:rPr>
            </w:pPr>
            <w:r w:rsidRPr="00BB4113">
              <w:rPr>
                <w:noProof/>
              </w:rPr>
              <w:drawing>
                <wp:inline distT="0" distB="0" distL="0" distR="0" wp14:anchorId="0A6F39EC" wp14:editId="680DDB7D">
                  <wp:extent cx="581025" cy="628650"/>
                  <wp:effectExtent l="0" t="0" r="0" b="0"/>
                  <wp:docPr id="1866900976" name="Immagine 186690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28650"/>
                          </a:xfrm>
                          <a:prstGeom prst="rect">
                            <a:avLst/>
                          </a:prstGeom>
                          <a:solidFill>
                            <a:srgbClr val="FFFFFF"/>
                          </a:solidFill>
                          <a:ln>
                            <a:noFill/>
                          </a:ln>
                        </pic:spPr>
                      </pic:pic>
                    </a:graphicData>
                  </a:graphic>
                </wp:inline>
              </w:drawing>
            </w:r>
          </w:p>
          <w:p w14:paraId="7075512B" w14:textId="62540C90" w:rsidR="00B37FF9" w:rsidRPr="00BB4113" w:rsidRDefault="00B37FF9" w:rsidP="00B37FF9">
            <w:pPr>
              <w:spacing w:after="0"/>
              <w:ind w:firstLine="0"/>
              <w:jc w:val="center"/>
            </w:pPr>
            <w:r w:rsidRPr="00BB4113">
              <w:rPr>
                <w:b/>
                <w:smallCaps/>
                <w:sz w:val="12"/>
                <w:szCs w:val="12"/>
              </w:rPr>
              <w:t>MINISTERO DELLE POLITICHE AGRICOLE, ALIMENTARI E FORESTALI</w:t>
            </w:r>
          </w:p>
        </w:tc>
        <w:tc>
          <w:tcPr>
            <w:tcW w:w="3335" w:type="dxa"/>
            <w:vAlign w:val="center"/>
          </w:tcPr>
          <w:p w14:paraId="1BA09BD8" w14:textId="3C58AAAC" w:rsidR="00B37FF9" w:rsidRPr="00BB4113" w:rsidRDefault="00B37FF9" w:rsidP="00B37FF9">
            <w:pPr>
              <w:spacing w:after="0"/>
              <w:ind w:firstLine="4"/>
              <w:jc w:val="center"/>
            </w:pPr>
            <w:r>
              <w:rPr>
                <w:b/>
                <w:smallCaps/>
                <w:sz w:val="12"/>
                <w:szCs w:val="12"/>
              </w:rPr>
              <w:t>R</w:t>
            </w:r>
            <w:r w:rsidRPr="00BB4113">
              <w:rPr>
                <w:b/>
                <w:smallCaps/>
                <w:sz w:val="12"/>
                <w:szCs w:val="12"/>
              </w:rPr>
              <w:t>EPUBBLICA ITALIANA</w:t>
            </w:r>
          </w:p>
          <w:p w14:paraId="7B8762E4" w14:textId="77777777" w:rsidR="00B37FF9" w:rsidRPr="00BB4113" w:rsidRDefault="00B37FF9" w:rsidP="00B37FF9">
            <w:pPr>
              <w:spacing w:after="0"/>
              <w:ind w:firstLine="4"/>
              <w:jc w:val="center"/>
              <w:rPr>
                <w:b/>
                <w:smallCaps/>
                <w:sz w:val="12"/>
                <w:szCs w:val="12"/>
              </w:rPr>
            </w:pPr>
            <w:r w:rsidRPr="00BB4113">
              <w:rPr>
                <w:b/>
                <w:smallCaps/>
                <w:noProof/>
                <w:color w:val="000000"/>
                <w:sz w:val="12"/>
                <w:szCs w:val="12"/>
              </w:rPr>
              <w:drawing>
                <wp:inline distT="0" distB="0" distL="0" distR="0" wp14:anchorId="76AA328F" wp14:editId="7A628438">
                  <wp:extent cx="457200" cy="581025"/>
                  <wp:effectExtent l="0" t="0" r="0" b="0"/>
                  <wp:docPr id="1557334086" name="Immagine 155733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solidFill>
                            <a:srgbClr val="FFFFFF"/>
                          </a:solidFill>
                          <a:ln>
                            <a:noFill/>
                          </a:ln>
                        </pic:spPr>
                      </pic:pic>
                    </a:graphicData>
                  </a:graphic>
                </wp:inline>
              </w:drawing>
            </w:r>
          </w:p>
          <w:p w14:paraId="13E9B23A" w14:textId="77777777" w:rsidR="00B37FF9" w:rsidRPr="00BB4113" w:rsidRDefault="00B37FF9" w:rsidP="00B37FF9">
            <w:pPr>
              <w:spacing w:after="0"/>
              <w:ind w:firstLine="4"/>
              <w:jc w:val="center"/>
              <w:rPr>
                <w:b/>
                <w:smallCaps/>
                <w:sz w:val="12"/>
                <w:szCs w:val="12"/>
              </w:rPr>
            </w:pPr>
            <w:r w:rsidRPr="00BB4113">
              <w:rPr>
                <w:b/>
                <w:smallCaps/>
                <w:sz w:val="12"/>
                <w:szCs w:val="12"/>
              </w:rPr>
              <w:t>REGIONE SICILIANA</w:t>
            </w:r>
          </w:p>
          <w:p w14:paraId="0767160B" w14:textId="77777777" w:rsidR="00B37FF9" w:rsidRPr="00BB4113" w:rsidRDefault="00B37FF9" w:rsidP="00B37FF9">
            <w:pPr>
              <w:spacing w:after="0"/>
              <w:ind w:firstLine="4"/>
              <w:jc w:val="center"/>
              <w:rPr>
                <w:b/>
                <w:smallCaps/>
                <w:sz w:val="12"/>
                <w:szCs w:val="12"/>
              </w:rPr>
            </w:pPr>
            <w:r w:rsidRPr="00BB4113">
              <w:rPr>
                <w:b/>
                <w:smallCaps/>
                <w:sz w:val="12"/>
                <w:szCs w:val="12"/>
              </w:rPr>
              <w:t>ASSESSORATO REGIONALE DELL</w:t>
            </w:r>
            <w:r>
              <w:rPr>
                <w:b/>
                <w:smallCaps/>
                <w:sz w:val="12"/>
                <w:szCs w:val="12"/>
              </w:rPr>
              <w:t>’</w:t>
            </w:r>
            <w:r w:rsidRPr="00BB4113">
              <w:rPr>
                <w:b/>
                <w:smallCaps/>
                <w:sz w:val="12"/>
                <w:szCs w:val="12"/>
              </w:rPr>
              <w:t>AGRICOLTURA, DELLO SVILUPPO RURALE</w:t>
            </w:r>
          </w:p>
          <w:p w14:paraId="18C5559A" w14:textId="77777777" w:rsidR="00B37FF9" w:rsidRPr="00BB4113" w:rsidRDefault="00B37FF9" w:rsidP="00B37FF9">
            <w:pPr>
              <w:spacing w:after="0"/>
              <w:ind w:firstLine="4"/>
              <w:jc w:val="center"/>
              <w:rPr>
                <w:b/>
                <w:smallCaps/>
                <w:sz w:val="12"/>
                <w:szCs w:val="12"/>
              </w:rPr>
            </w:pPr>
            <w:r w:rsidRPr="00BB4113">
              <w:rPr>
                <w:b/>
                <w:smallCaps/>
                <w:sz w:val="12"/>
                <w:szCs w:val="12"/>
              </w:rPr>
              <w:t>E DELLA PESCA MEDITERRANEA</w:t>
            </w:r>
          </w:p>
        </w:tc>
      </w:tr>
    </w:tbl>
    <w:p w14:paraId="55C1389C" w14:textId="77777777" w:rsidR="00B37FF9" w:rsidRPr="00BB4113" w:rsidRDefault="00B37FF9" w:rsidP="00B37FF9">
      <w:pPr>
        <w:jc w:val="center"/>
      </w:pPr>
    </w:p>
    <w:p w14:paraId="538C4383" w14:textId="77777777" w:rsidR="00B37FF9" w:rsidRDefault="00B37FF9" w:rsidP="00B37FF9">
      <w:pPr>
        <w:pBdr>
          <w:top w:val="nil"/>
          <w:left w:val="nil"/>
          <w:bottom w:val="nil"/>
          <w:right w:val="nil"/>
          <w:between w:val="nil"/>
        </w:pBdr>
        <w:jc w:val="center"/>
        <w:rPr>
          <w:color w:val="000000"/>
          <w:sz w:val="36"/>
          <w:szCs w:val="36"/>
        </w:rPr>
      </w:pPr>
    </w:p>
    <w:p w14:paraId="4706DEF1" w14:textId="3EEB0C38" w:rsidR="00B37FF9" w:rsidRPr="00BB4113" w:rsidRDefault="00B37FF9" w:rsidP="00B37FF9">
      <w:pPr>
        <w:pBdr>
          <w:top w:val="nil"/>
          <w:left w:val="nil"/>
          <w:bottom w:val="nil"/>
          <w:right w:val="nil"/>
          <w:between w:val="nil"/>
        </w:pBdr>
        <w:jc w:val="center"/>
        <w:rPr>
          <w:b/>
          <w:bCs/>
          <w:color w:val="000000"/>
          <w:sz w:val="36"/>
          <w:szCs w:val="36"/>
        </w:rPr>
      </w:pPr>
      <w:r w:rsidRPr="00BB4113">
        <w:rPr>
          <w:b/>
          <w:bCs/>
          <w:color w:val="000000"/>
          <w:sz w:val="36"/>
          <w:szCs w:val="36"/>
        </w:rPr>
        <w:t>PIANO STRATEGICO</w:t>
      </w:r>
      <w:r>
        <w:rPr>
          <w:b/>
          <w:bCs/>
          <w:color w:val="000000"/>
          <w:sz w:val="36"/>
          <w:szCs w:val="36"/>
        </w:rPr>
        <w:t xml:space="preserve"> </w:t>
      </w:r>
      <w:r w:rsidRPr="00BB4113">
        <w:rPr>
          <w:b/>
          <w:bCs/>
          <w:color w:val="000000"/>
          <w:sz w:val="36"/>
          <w:szCs w:val="36"/>
        </w:rPr>
        <w:t>DELLA PAC 2023-2027</w:t>
      </w:r>
    </w:p>
    <w:p w14:paraId="398C0EFC" w14:textId="77777777" w:rsidR="00B37FF9" w:rsidRDefault="00B37FF9" w:rsidP="00B37FF9">
      <w:pPr>
        <w:pBdr>
          <w:top w:val="nil"/>
          <w:left w:val="nil"/>
          <w:bottom w:val="nil"/>
          <w:right w:val="nil"/>
          <w:between w:val="nil"/>
        </w:pBdr>
        <w:jc w:val="center"/>
        <w:rPr>
          <w:b/>
          <w:color w:val="000000"/>
          <w:sz w:val="32"/>
          <w:szCs w:val="32"/>
        </w:rPr>
      </w:pPr>
    </w:p>
    <w:p w14:paraId="4D27999C" w14:textId="77777777" w:rsidR="00B37FF9" w:rsidRDefault="00B37FF9" w:rsidP="00B37FF9">
      <w:pPr>
        <w:pBdr>
          <w:top w:val="nil"/>
          <w:left w:val="nil"/>
          <w:bottom w:val="nil"/>
          <w:right w:val="nil"/>
          <w:between w:val="nil"/>
        </w:pBdr>
        <w:jc w:val="center"/>
        <w:rPr>
          <w:b/>
          <w:color w:val="000000"/>
          <w:sz w:val="32"/>
          <w:szCs w:val="32"/>
        </w:rPr>
      </w:pPr>
      <w:r>
        <w:rPr>
          <w:b/>
          <w:noProof/>
          <w:color w:val="000000"/>
          <w:sz w:val="32"/>
          <w:szCs w:val="32"/>
        </w:rPr>
        <w:drawing>
          <wp:inline distT="0" distB="0" distL="0" distR="0" wp14:anchorId="30774451" wp14:editId="6A84A786">
            <wp:extent cx="5943600" cy="271716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1">
                      <a:extLst>
                        <a:ext uri="{28A0092B-C50C-407E-A947-70E740481C1C}">
                          <a14:useLocalDpi xmlns:a14="http://schemas.microsoft.com/office/drawing/2010/main" val="0"/>
                        </a:ext>
                      </a:extLst>
                    </a:blip>
                    <a:stretch>
                      <a:fillRect/>
                    </a:stretch>
                  </pic:blipFill>
                  <pic:spPr>
                    <a:xfrm>
                      <a:off x="0" y="0"/>
                      <a:ext cx="5943600" cy="2717165"/>
                    </a:xfrm>
                    <a:prstGeom prst="rect">
                      <a:avLst/>
                    </a:prstGeom>
                  </pic:spPr>
                </pic:pic>
              </a:graphicData>
            </a:graphic>
          </wp:inline>
        </w:drawing>
      </w:r>
    </w:p>
    <w:p w14:paraId="033CDB21" w14:textId="77777777" w:rsidR="00B37FF9" w:rsidRDefault="00B37FF9" w:rsidP="00B37FF9">
      <w:pPr>
        <w:pBdr>
          <w:top w:val="nil"/>
          <w:left w:val="nil"/>
          <w:bottom w:val="nil"/>
          <w:right w:val="nil"/>
          <w:between w:val="nil"/>
        </w:pBdr>
        <w:jc w:val="center"/>
        <w:rPr>
          <w:b/>
          <w:color w:val="000000"/>
          <w:sz w:val="32"/>
          <w:szCs w:val="32"/>
        </w:rPr>
      </w:pPr>
    </w:p>
    <w:p w14:paraId="50AF3237" w14:textId="77777777" w:rsidR="00B37FF9" w:rsidRPr="00BB4113" w:rsidRDefault="00B37FF9" w:rsidP="00B37FF9">
      <w:pPr>
        <w:pBdr>
          <w:top w:val="nil"/>
          <w:left w:val="nil"/>
          <w:bottom w:val="nil"/>
          <w:right w:val="nil"/>
          <w:between w:val="nil"/>
        </w:pBdr>
        <w:jc w:val="center"/>
        <w:rPr>
          <w:b/>
          <w:color w:val="000000"/>
          <w:sz w:val="32"/>
          <w:szCs w:val="32"/>
        </w:rPr>
      </w:pPr>
      <w:r w:rsidRPr="00BB4113">
        <w:rPr>
          <w:b/>
          <w:color w:val="000000"/>
          <w:sz w:val="32"/>
          <w:szCs w:val="32"/>
        </w:rPr>
        <w:t>INTERVENTO SRG01</w:t>
      </w:r>
    </w:p>
    <w:p w14:paraId="6C264EC8" w14:textId="77777777" w:rsidR="00B37FF9" w:rsidRPr="00BB4113" w:rsidRDefault="00B37FF9" w:rsidP="00B37FF9">
      <w:pPr>
        <w:pBdr>
          <w:top w:val="nil"/>
          <w:left w:val="nil"/>
          <w:bottom w:val="nil"/>
          <w:right w:val="nil"/>
          <w:between w:val="nil"/>
        </w:pBdr>
        <w:jc w:val="center"/>
        <w:rPr>
          <w:bCs/>
          <w:i/>
          <w:color w:val="000000"/>
          <w:sz w:val="32"/>
          <w:szCs w:val="32"/>
        </w:rPr>
      </w:pPr>
      <w:r>
        <w:rPr>
          <w:bCs/>
          <w:i/>
          <w:color w:val="000000"/>
          <w:sz w:val="32"/>
          <w:szCs w:val="32"/>
        </w:rPr>
        <w:t xml:space="preserve">- </w:t>
      </w:r>
      <w:r w:rsidRPr="00BB4113">
        <w:rPr>
          <w:bCs/>
          <w:i/>
          <w:color w:val="000000"/>
          <w:sz w:val="32"/>
          <w:szCs w:val="32"/>
        </w:rPr>
        <w:t>SOSTEGNO GRUPPI OPERATIVI PEI AGRI</w:t>
      </w:r>
      <w:r>
        <w:rPr>
          <w:bCs/>
          <w:i/>
          <w:color w:val="000000"/>
          <w:sz w:val="32"/>
          <w:szCs w:val="32"/>
        </w:rPr>
        <w:t xml:space="preserve"> -</w:t>
      </w:r>
    </w:p>
    <w:p w14:paraId="14A94798" w14:textId="77777777" w:rsidR="00B37FF9" w:rsidRDefault="00B37FF9" w:rsidP="00B37FF9">
      <w:pPr>
        <w:spacing w:line="259" w:lineRule="auto"/>
        <w:jc w:val="center"/>
        <w:rPr>
          <w:b/>
          <w:bCs/>
          <w:szCs w:val="24"/>
        </w:rPr>
      </w:pPr>
    </w:p>
    <w:p w14:paraId="3D2C4C4A" w14:textId="537D133F" w:rsidR="00B37FF9" w:rsidRPr="006A6122" w:rsidRDefault="00B37FF9" w:rsidP="00B37FF9">
      <w:pPr>
        <w:spacing w:line="259" w:lineRule="auto"/>
        <w:jc w:val="center"/>
        <w:rPr>
          <w:b/>
          <w:bCs/>
          <w:szCs w:val="24"/>
        </w:rPr>
      </w:pPr>
      <w:r w:rsidRPr="006A6122">
        <w:rPr>
          <w:b/>
          <w:bCs/>
          <w:szCs w:val="24"/>
        </w:rPr>
        <w:t xml:space="preserve">Bando approvato con D.D.G. </w:t>
      </w:r>
      <w:r w:rsidR="0017797D" w:rsidRPr="00E66B89">
        <w:rPr>
          <w:b/>
          <w:bCs/>
          <w:szCs w:val="24"/>
        </w:rPr>
        <w:t>11391/2025 del 11/12/2025</w:t>
      </w:r>
    </w:p>
    <w:p w14:paraId="75992EB3" w14:textId="77777777" w:rsidR="00BC4E29" w:rsidRPr="00DA30C5" w:rsidRDefault="00BC4E29" w:rsidP="00BC4E29"/>
    <w:p w14:paraId="3A59AA0B" w14:textId="311DBF05" w:rsidR="00BC4E29" w:rsidRPr="00B37FF9" w:rsidRDefault="00992C11" w:rsidP="00B37FF9">
      <w:pPr>
        <w:jc w:val="center"/>
        <w:rPr>
          <w:b/>
          <w:bCs/>
          <w:i/>
          <w:iCs/>
        </w:rPr>
      </w:pPr>
      <w:r>
        <w:rPr>
          <w:b/>
          <w:bCs/>
          <w:i/>
          <w:iCs/>
        </w:rPr>
        <w:t xml:space="preserve">Allegato </w:t>
      </w:r>
      <w:r w:rsidR="00997511">
        <w:rPr>
          <w:b/>
          <w:bCs/>
          <w:i/>
          <w:iCs/>
        </w:rPr>
        <w:t>9</w:t>
      </w:r>
      <w:r>
        <w:rPr>
          <w:b/>
          <w:bCs/>
          <w:i/>
          <w:iCs/>
        </w:rPr>
        <w:t xml:space="preserve"> - </w:t>
      </w:r>
      <w:r w:rsidR="00BC4E29" w:rsidRPr="00B37FF9">
        <w:rPr>
          <w:b/>
          <w:bCs/>
          <w:i/>
          <w:iCs/>
        </w:rPr>
        <w:t>Requisiti Prestatori di consulenza</w:t>
      </w:r>
    </w:p>
    <w:p w14:paraId="10A17DD8" w14:textId="5648F9B7" w:rsidR="00BC4E29" w:rsidRPr="00B37FF9" w:rsidRDefault="00B37FF9" w:rsidP="00B37FF9">
      <w:pPr>
        <w:jc w:val="center"/>
        <w:rPr>
          <w:b/>
          <w:bCs/>
          <w:i/>
          <w:iCs/>
        </w:rPr>
      </w:pPr>
      <w:r>
        <w:rPr>
          <w:b/>
          <w:bCs/>
          <w:i/>
          <w:iCs/>
        </w:rPr>
        <w:t xml:space="preserve">ai sensi del </w:t>
      </w:r>
      <w:r w:rsidR="00BC4E29" w:rsidRPr="00B37FF9">
        <w:rPr>
          <w:b/>
          <w:bCs/>
          <w:i/>
          <w:iCs/>
        </w:rPr>
        <w:t>DM MASAF del 19.02.2025</w:t>
      </w:r>
    </w:p>
    <w:p w14:paraId="3BEA5C96" w14:textId="77B37906" w:rsidR="00BC4E29" w:rsidRDefault="00BC4E29" w:rsidP="00BC4E29">
      <w:r>
        <w:br w:type="page"/>
      </w:r>
      <w:r>
        <w:lastRenderedPageBreak/>
        <w:t xml:space="preserve">Il presente documento riporta quanto disposto dal decreto ministeriale del 19 febbraio 2025 inerente al </w:t>
      </w:r>
      <w:r w:rsidRPr="00BC4E29">
        <w:t>sistema</w:t>
      </w:r>
      <w:r>
        <w:t xml:space="preserve"> della consulenza in agricoltura, e ha finalità di indirizzo per la verifica dei requisiti dei consulenti al fine del riconoscimento </w:t>
      </w:r>
      <w:r w:rsidR="00B37FF9">
        <w:t xml:space="preserve">degli stessi </w:t>
      </w:r>
      <w:r>
        <w:t>come “prestator</w:t>
      </w:r>
      <w:r w:rsidR="00B37FF9">
        <w:t>i</w:t>
      </w:r>
      <w:r>
        <w:t xml:space="preserve"> di consulenza”.</w:t>
      </w:r>
    </w:p>
    <w:p w14:paraId="20409AA4" w14:textId="77777777" w:rsidR="00BC4E29" w:rsidRPr="00BC4E29" w:rsidRDefault="00BC4E29" w:rsidP="00BC4E29">
      <w:pPr>
        <w:pStyle w:val="Titolo1"/>
      </w:pPr>
      <w:r w:rsidRPr="00BC4E29">
        <w:t>DEFINIZIONI</w:t>
      </w:r>
    </w:p>
    <w:p w14:paraId="14D7F741" w14:textId="067DB976" w:rsidR="00BC4E29" w:rsidRDefault="00BC4E29" w:rsidP="00BC4E29">
      <w:r>
        <w:t>Il decreto ministeriale del 19 febbraio 2025 definisce:</w:t>
      </w:r>
    </w:p>
    <w:p w14:paraId="4C4F5493" w14:textId="4BC0CB9F" w:rsidR="00BC4E29" w:rsidRPr="00BC4E29" w:rsidRDefault="00BC4E29" w:rsidP="00BC4E29">
      <w:pPr>
        <w:pStyle w:val="Sottotitolo"/>
      </w:pPr>
      <w:r w:rsidRPr="00BC4E29">
        <w:t>«consulente»: persona fisica in possesso di qualifiche adeguate e regolarmente formata, che presta la propria opera, per la fornitura di servizi di consulenza;</w:t>
      </w:r>
    </w:p>
    <w:p w14:paraId="56C5B11B" w14:textId="2C05939E" w:rsidR="00BC4E29" w:rsidRPr="00BC4E29" w:rsidRDefault="00BC4E29" w:rsidP="00BC4E29">
      <w:pPr>
        <w:pStyle w:val="Sottotitolo"/>
      </w:pPr>
      <w:r w:rsidRPr="00BC4E29">
        <w:t>«destinatario del servizio»: imprese agricole, forestali e altre imprese operanti in aree rurali a cui sono rivolti i servizi di consulenza;</w:t>
      </w:r>
    </w:p>
    <w:p w14:paraId="4F32611C" w14:textId="1965972E" w:rsidR="00BC4E29" w:rsidRPr="00BC4E29" w:rsidRDefault="00BC4E29" w:rsidP="00BC4E29">
      <w:pPr>
        <w:pStyle w:val="Sottotitolo"/>
      </w:pPr>
      <w:r w:rsidRPr="00BC4E29">
        <w:t>«prestatore di servizi di consulenza»: soggetto pubblico o privato che presta servizi di consulenza per il tramite di uno o più consulenti adeguatamente qualificati e formati e che, ove previsto, contempli, tra le proprie finalità, le attività di consulenza. Sono prestatori di servizi di consulenza anche i liberi professionisti;</w:t>
      </w:r>
    </w:p>
    <w:p w14:paraId="3BF01FD8" w14:textId="39045C9B" w:rsidR="00BC4E29" w:rsidRPr="00BC4E29" w:rsidRDefault="00BC4E29" w:rsidP="00BC4E29">
      <w:pPr>
        <w:pStyle w:val="Sottotitolo"/>
        <w:rPr>
          <w:rFonts w:eastAsiaTheme="minorHAnsi"/>
        </w:rPr>
      </w:pPr>
      <w:r w:rsidRPr="00BC4E29">
        <w:rPr>
          <w:rFonts w:eastAsiaTheme="minorHAnsi"/>
        </w:rPr>
        <w:t>«Registro unico»: registro nazionale dei prestatori di servizi</w:t>
      </w:r>
      <w:r w:rsidRPr="00BC4E29">
        <w:t xml:space="preserve"> </w:t>
      </w:r>
      <w:r w:rsidRPr="00BC4E29">
        <w:rPr>
          <w:rFonts w:eastAsiaTheme="minorHAnsi"/>
        </w:rPr>
        <w:t>di consulenza, individuati dalle regioni e province autonome.</w:t>
      </w:r>
    </w:p>
    <w:p w14:paraId="0B20063B" w14:textId="4D5473ED" w:rsidR="00BC4E29" w:rsidRPr="00BC4E29" w:rsidRDefault="00BC4E29" w:rsidP="00BC4E29">
      <w:pPr>
        <w:pStyle w:val="Sottotitolo"/>
      </w:pPr>
      <w:r w:rsidRPr="00BC4E29">
        <w:t>«servizi di consulenza»: l'insieme di interventi e di prestazioni tecnico-professionali fornite dai consulenti alle imprese, anche in forma aggregata;</w:t>
      </w:r>
    </w:p>
    <w:p w14:paraId="3202E0FB" w14:textId="025A3B35" w:rsidR="00BC4E29" w:rsidRDefault="00BC4E29" w:rsidP="00BC4E29">
      <w:pPr>
        <w:pStyle w:val="Sottotitolo"/>
      </w:pPr>
      <w:r w:rsidRPr="00BC4E29">
        <w:t>«tematiche di consulenza»: argomenti oggetto dei servizi di consulenza idonei a perseguire gli obiettivi specifici di cui all'art. 6 e coerenti con l'art. 15, paragrafo 4 del regolamento UE 2115/2021.</w:t>
      </w:r>
    </w:p>
    <w:p w14:paraId="5A9DFF46" w14:textId="6EB6B114" w:rsidR="00BC4E29" w:rsidRDefault="00BC4E29" w:rsidP="00BC4E29">
      <w:pPr>
        <w:pStyle w:val="Titolo1"/>
      </w:pPr>
      <w:r w:rsidRPr="00BC4E29">
        <w:t>CRITERI CHE GARANTISCONO L'ASSENZA DI CONFLITTI DI INTERESSE</w:t>
      </w:r>
      <w:r>
        <w:t xml:space="preserve"> </w:t>
      </w:r>
      <w:r w:rsidRPr="00BC4E29">
        <w:t>DEI CONSULENTI E L'IMPARZIALIT</w:t>
      </w:r>
      <w:r>
        <w:t>À</w:t>
      </w:r>
      <w:r w:rsidRPr="00BC4E29">
        <w:t xml:space="preserve"> DELLA CONSULENZA</w:t>
      </w:r>
    </w:p>
    <w:p w14:paraId="6304E3B6" w14:textId="77777777" w:rsidR="00DA6BA1" w:rsidRDefault="00BC4E29" w:rsidP="00BC4E29">
      <w:r>
        <w:t>1. Per garantire l'assenza di conflitto di interessi, i prestatori di servizi di consulenza non devono avere direttamente o indirettamente alcun interesse finanziario, economico o altro</w:t>
      </w:r>
      <w:r w:rsidR="00B37FF9">
        <w:t xml:space="preserve"> </w:t>
      </w:r>
      <w:r>
        <w:t>interesse personale che possa costituire un impedimento concreto ed</w:t>
      </w:r>
      <w:r w:rsidR="00B37FF9">
        <w:t xml:space="preserve"> </w:t>
      </w:r>
      <w:r>
        <w:t xml:space="preserve">effettivo allo svolgimento imparziale e indipendente </w:t>
      </w:r>
      <w:r w:rsidR="00B37FF9">
        <w:t xml:space="preserve">dell’attività </w:t>
      </w:r>
      <w:r>
        <w:t xml:space="preserve">di consulenza. </w:t>
      </w:r>
    </w:p>
    <w:p w14:paraId="57F32EB0" w14:textId="531EE35A" w:rsidR="00BC4E29" w:rsidRDefault="00BC4E29" w:rsidP="00BC4E29">
      <w:r>
        <w:t>Pertanto, devono essere chiaramente separate dalle</w:t>
      </w:r>
      <w:r w:rsidR="00B37FF9">
        <w:t xml:space="preserve"> attività</w:t>
      </w:r>
      <w:r>
        <w:t xml:space="preserve"> di consulenza, in quanto incompatibili, le seguenti</w:t>
      </w:r>
      <w:r w:rsidR="00B37FF9">
        <w:t xml:space="preserve"> attività</w:t>
      </w:r>
      <w:r>
        <w:t>:</w:t>
      </w:r>
    </w:p>
    <w:p w14:paraId="66E3D015" w14:textId="15ED41EA" w:rsidR="00BC4E29" w:rsidRDefault="00BC4E29" w:rsidP="00B37FF9">
      <w:pPr>
        <w:pStyle w:val="Sottotitolo"/>
        <w:numPr>
          <w:ilvl w:val="0"/>
          <w:numId w:val="7"/>
        </w:numPr>
      </w:pPr>
      <w:r>
        <w:lastRenderedPageBreak/>
        <w:t>la gestione delle fasi di istruttoria, erogazione e controllo</w:t>
      </w:r>
      <w:r w:rsidR="00B37FF9">
        <w:t xml:space="preserve"> </w:t>
      </w:r>
      <w:r>
        <w:t>di contributi pubblici nel settore agricolo e forestale e di aiuti a</w:t>
      </w:r>
      <w:r w:rsidR="00B37FF9">
        <w:t xml:space="preserve"> </w:t>
      </w:r>
      <w:r>
        <w:t>favore delle zone rurali;</w:t>
      </w:r>
    </w:p>
    <w:p w14:paraId="7CBAA5E7" w14:textId="13E5B390" w:rsidR="00BC4E29" w:rsidRDefault="00BC4E29" w:rsidP="00B37FF9">
      <w:pPr>
        <w:pStyle w:val="Sottotitolo"/>
      </w:pPr>
      <w:r>
        <w:t xml:space="preserve">lo svolgimento delle </w:t>
      </w:r>
      <w:r w:rsidR="00B37FF9">
        <w:t>attività</w:t>
      </w:r>
      <w:r>
        <w:t xml:space="preserve"> di Centro di assistenza</w:t>
      </w:r>
      <w:r w:rsidR="00B37FF9">
        <w:t xml:space="preserve"> </w:t>
      </w:r>
      <w:r>
        <w:t>agricola autorizzato, di cui al decreto ministeriale del 21 febbraio</w:t>
      </w:r>
      <w:r w:rsidR="00B37FF9">
        <w:t xml:space="preserve"> </w:t>
      </w:r>
      <w:r>
        <w:t>2024, n. 83709;</w:t>
      </w:r>
    </w:p>
    <w:p w14:paraId="03A77BC1" w14:textId="52663322" w:rsidR="00BC4E29" w:rsidRDefault="00BC4E29" w:rsidP="00B37FF9">
      <w:pPr>
        <w:pStyle w:val="Sottotitolo"/>
      </w:pPr>
      <w:r>
        <w:t xml:space="preserve">lo svolgimento delle </w:t>
      </w:r>
      <w:r w:rsidR="00B37FF9">
        <w:t>attività</w:t>
      </w:r>
      <w:r>
        <w:t xml:space="preserve"> di controllo e di</w:t>
      </w:r>
      <w:r w:rsidR="00B37FF9">
        <w:t xml:space="preserve"> </w:t>
      </w:r>
      <w:r>
        <w:t xml:space="preserve">certificazione dei regimi di </w:t>
      </w:r>
      <w:r w:rsidR="00B37FF9">
        <w:t>qualità</w:t>
      </w:r>
      <w:r>
        <w:t xml:space="preserve"> ai sensi delle normative</w:t>
      </w:r>
      <w:r w:rsidR="00B37FF9">
        <w:t xml:space="preserve"> </w:t>
      </w:r>
      <w:r>
        <w:t>comunitarie, nazionali e regionali in campo agricolo e forestale, ove</w:t>
      </w:r>
      <w:r w:rsidR="00B37FF9">
        <w:t xml:space="preserve"> </w:t>
      </w:r>
      <w:r>
        <w:t>finalizzate al riconoscimento di contributi pubblici;</w:t>
      </w:r>
    </w:p>
    <w:p w14:paraId="714D1B76" w14:textId="300E6976" w:rsidR="00BC4E29" w:rsidRDefault="00BC4E29" w:rsidP="00B37FF9">
      <w:pPr>
        <w:pStyle w:val="Sottotitolo"/>
      </w:pPr>
      <w:r>
        <w:t>lo svolgimento dei controlli sanitari secondo quanto stabilito</w:t>
      </w:r>
      <w:r w:rsidR="00B37FF9">
        <w:t xml:space="preserve"> </w:t>
      </w:r>
      <w:r>
        <w:t>dalla normativa vigente;</w:t>
      </w:r>
    </w:p>
    <w:p w14:paraId="0AC0F0FD" w14:textId="2849547D" w:rsidR="00BC4E29" w:rsidRDefault="00BC4E29" w:rsidP="00B37FF9">
      <w:pPr>
        <w:pStyle w:val="Sottotitolo"/>
      </w:pPr>
      <w:r>
        <w:t xml:space="preserve">lo svolgimento di </w:t>
      </w:r>
      <w:r w:rsidR="00B37FF9">
        <w:t>attività</w:t>
      </w:r>
      <w:r>
        <w:t xml:space="preserve"> di produzione e/o</w:t>
      </w:r>
      <w:r w:rsidR="00B37FF9">
        <w:t xml:space="preserve"> </w:t>
      </w:r>
      <w:r>
        <w:t>commercializzazione di mezzi tecnici e prodotti assicurativi per il</w:t>
      </w:r>
      <w:r w:rsidR="00B37FF9">
        <w:t xml:space="preserve"> </w:t>
      </w:r>
      <w:r>
        <w:t>settore agricolo o forestale.</w:t>
      </w:r>
    </w:p>
    <w:p w14:paraId="70A720C3" w14:textId="465A8B8F" w:rsidR="00BC4E29" w:rsidRDefault="00BC4E29" w:rsidP="00BC4E29">
      <w:r>
        <w:t xml:space="preserve">2. Le </w:t>
      </w:r>
      <w:r w:rsidR="00B37FF9">
        <w:t>incompatibilità</w:t>
      </w:r>
      <w:r>
        <w:t xml:space="preserve"> di cui al comma 1, devono essere verificate</w:t>
      </w:r>
      <w:r w:rsidR="00B37FF9">
        <w:t xml:space="preserve"> </w:t>
      </w:r>
      <w:r>
        <w:t>nei confronti del prestatore di servizi di consulenza e dei</w:t>
      </w:r>
      <w:r w:rsidR="00B37FF9">
        <w:t xml:space="preserve"> </w:t>
      </w:r>
      <w:r>
        <w:t>consulenti;</w:t>
      </w:r>
    </w:p>
    <w:p w14:paraId="352A9D00" w14:textId="0D121D62" w:rsidR="00BC4E29" w:rsidRDefault="00BC4E29" w:rsidP="00BC4E29">
      <w:r>
        <w:t xml:space="preserve">3. Le </w:t>
      </w:r>
      <w:r w:rsidR="00B37FF9">
        <w:t>incompatibilità</w:t>
      </w:r>
      <w:r>
        <w:t xml:space="preserve"> di cui alle lettere a), c) e d) del comma 1</w:t>
      </w:r>
      <w:r w:rsidR="00B37FF9">
        <w:t xml:space="preserve"> </w:t>
      </w:r>
      <w:r>
        <w:t>possono essere verificate, in alternativa, con riferimento ai</w:t>
      </w:r>
      <w:r w:rsidR="00B37FF9">
        <w:t xml:space="preserve"> </w:t>
      </w:r>
      <w:r>
        <w:t>destinatari dei servizi di consulenza;</w:t>
      </w:r>
    </w:p>
    <w:p w14:paraId="71B42D72" w14:textId="09F9958D" w:rsidR="00BC4E29" w:rsidRDefault="00BC4E29" w:rsidP="00BC4E29">
      <w:r>
        <w:t>4. Per i soggetti in possesso di abilitazione alle prestazioni di</w:t>
      </w:r>
      <w:r w:rsidR="00B37FF9">
        <w:t xml:space="preserve"> </w:t>
      </w:r>
      <w:r>
        <w:t>consulenza in materia di uso sostenibile dei prodotti fitosanitari e</w:t>
      </w:r>
      <w:r w:rsidR="00B37FF9">
        <w:t xml:space="preserve"> </w:t>
      </w:r>
      <w:r>
        <w:t>sui metodi di difesa alternativi, si applicano i criteri di</w:t>
      </w:r>
      <w:r w:rsidR="00B37FF9">
        <w:t xml:space="preserve"> incompatibilità</w:t>
      </w:r>
      <w:r>
        <w:t xml:space="preserve"> indicati al punto A.1.3 del Piano d'azione nazionale</w:t>
      </w:r>
      <w:r w:rsidR="00B37FF9">
        <w:t xml:space="preserve"> </w:t>
      </w:r>
      <w:r>
        <w:t>per l'uso sostenibile dei prodotti fitosanitari, adottato con decreto</w:t>
      </w:r>
      <w:r w:rsidR="00B37FF9">
        <w:t xml:space="preserve"> </w:t>
      </w:r>
      <w:r>
        <w:t>del Ministro delle politiche agricole, alimentari e forestali, di</w:t>
      </w:r>
      <w:r w:rsidR="00B37FF9">
        <w:t xml:space="preserve"> </w:t>
      </w:r>
      <w:r>
        <w:t>concerto con i Ministri dell'ambiente e della tutela del territorio e</w:t>
      </w:r>
      <w:r w:rsidR="00B37FF9">
        <w:t xml:space="preserve"> </w:t>
      </w:r>
      <w:r>
        <w:t>del mare e della salute del 22 gennaio 2014.</w:t>
      </w:r>
    </w:p>
    <w:p w14:paraId="12E2E889" w14:textId="203B01A6" w:rsidR="00B37FF9" w:rsidRDefault="00B37FF9" w:rsidP="00B37FF9">
      <w:pPr>
        <w:pStyle w:val="Titolo1"/>
      </w:pPr>
      <w:r>
        <w:t>PROCEDURE OMOGENEE PER LA REALIZZAZIONE DELLE ATTIVITÀ DI FORMAZIONE DI BASE E DI AGGIORNAMENTO PROFESSIONALE</w:t>
      </w:r>
    </w:p>
    <w:p w14:paraId="0FBA8006" w14:textId="48EEB371" w:rsidR="00B37FF9" w:rsidRDefault="00B37FF9" w:rsidP="00B37FF9">
      <w:pPr>
        <w:rPr>
          <w:rFonts w:eastAsiaTheme="minorHAnsi"/>
          <w:lang w:eastAsia="en-US"/>
        </w:rPr>
      </w:pPr>
      <w:r>
        <w:rPr>
          <w:rFonts w:eastAsiaTheme="minorHAnsi"/>
          <w:lang w:eastAsia="en-US"/>
        </w:rPr>
        <w:t>1. Sono considerati in possesso di qualifiche adeguate ai fini dello svolgimento dell’attività di consulenza di cui al presente decreto gli iscritti agli ordini e ai collegi professionali nelle rispettive tematiche di consulenza.</w:t>
      </w:r>
    </w:p>
    <w:p w14:paraId="234C690C" w14:textId="50EB71D6" w:rsidR="00B37FF9" w:rsidRDefault="00B37FF9" w:rsidP="00B37FF9">
      <w:pPr>
        <w:rPr>
          <w:rFonts w:eastAsiaTheme="minorHAnsi"/>
          <w:lang w:eastAsia="en-US"/>
        </w:rPr>
      </w:pPr>
      <w:r>
        <w:rPr>
          <w:rFonts w:eastAsiaTheme="minorHAnsi"/>
          <w:lang w:eastAsia="en-US"/>
        </w:rPr>
        <w:t>2. Fatte salve le materie per le quali la legge prevede una competenza esclusiva riservata alle categorie professionali di cui al comma 1, sono altresì considerati in possesso di qualifiche adeguate ai fini dello svolgimento dell’attività di consulenza, i seguenti soggetti:</w:t>
      </w:r>
    </w:p>
    <w:p w14:paraId="1A80E7E9" w14:textId="4957B9E3" w:rsidR="00B37FF9" w:rsidRPr="00B37FF9" w:rsidRDefault="00B37FF9" w:rsidP="00B37FF9">
      <w:pPr>
        <w:pStyle w:val="Sottotitolo"/>
        <w:numPr>
          <w:ilvl w:val="0"/>
          <w:numId w:val="9"/>
        </w:numPr>
      </w:pPr>
      <w:r w:rsidRPr="00B37FF9">
        <w:t>i consulenti in possesso di titolo di studio adeguato alle tematiche oggetto di consulenza con documentata esperienza lavorativa di almeno ventiquattro mesi, non necessariamente consecutivi, maturata negli ultimi cinque anni solari, nelle medesime tematiche.</w:t>
      </w:r>
    </w:p>
    <w:p w14:paraId="0D03C168" w14:textId="72ED1E7D" w:rsidR="00B37FF9" w:rsidRPr="00B37FF9" w:rsidRDefault="00B37FF9" w:rsidP="00B37FF9">
      <w:pPr>
        <w:pStyle w:val="Sottotitolo"/>
        <w:numPr>
          <w:ilvl w:val="0"/>
          <w:numId w:val="9"/>
        </w:numPr>
      </w:pPr>
      <w:r w:rsidRPr="00B37FF9">
        <w:lastRenderedPageBreak/>
        <w:t>i consulenti in possesso di titolo di studio adeguato alle tematiche oggetto di consulenza e attestato di frequenza/con profitto, al termine di una formazione di base che rispetti i criteri minimi di cui al successivo comma 3.</w:t>
      </w:r>
    </w:p>
    <w:p w14:paraId="27153BF2" w14:textId="501238A1" w:rsidR="00B37FF9" w:rsidRDefault="00B37FF9" w:rsidP="00B37FF9">
      <w:pPr>
        <w:rPr>
          <w:rFonts w:eastAsiaTheme="minorHAnsi"/>
          <w:lang w:eastAsia="en-US"/>
        </w:rPr>
      </w:pPr>
      <w:r>
        <w:rPr>
          <w:rFonts w:eastAsiaTheme="minorHAnsi"/>
          <w:lang w:eastAsia="en-US"/>
        </w:rPr>
        <w:t>3. Le attività di formazione di base devono rispettare i seguenti criteri minimi:</w:t>
      </w:r>
    </w:p>
    <w:p w14:paraId="2797F924" w14:textId="2E50A07A" w:rsidR="00B37FF9" w:rsidRPr="00B37FF9" w:rsidRDefault="00B37FF9" w:rsidP="00B37FF9">
      <w:pPr>
        <w:pStyle w:val="Sottotitolo"/>
        <w:numPr>
          <w:ilvl w:val="0"/>
          <w:numId w:val="11"/>
        </w:numPr>
      </w:pPr>
      <w:r w:rsidRPr="00B37FF9">
        <w:t>essere svolte da soggetti pubblici, enti riconosciuti o enti di formazione accreditati, a livello regionale, nazionale o unionale;</w:t>
      </w:r>
    </w:p>
    <w:p w14:paraId="7B2A9E69" w14:textId="13847939" w:rsidR="00B37FF9" w:rsidRPr="00B37FF9" w:rsidRDefault="00B37FF9" w:rsidP="00B37FF9">
      <w:pPr>
        <w:pStyle w:val="Sottotitolo"/>
        <w:numPr>
          <w:ilvl w:val="0"/>
          <w:numId w:val="11"/>
        </w:numPr>
      </w:pPr>
      <w:r w:rsidRPr="00B37FF9">
        <w:t>avere una durata non inferiore a 24 ore in ciascuna delle tematiche per le quali si intende svolgere il servizio di consulenza, che può includere anche i temi connessi alla metodologia di</w:t>
      </w:r>
      <w:r>
        <w:t xml:space="preserve"> </w:t>
      </w:r>
      <w:r w:rsidRPr="00B37FF9">
        <w:t>erogazione del servizio di consulenza</w:t>
      </w:r>
      <w:r>
        <w:t>;</w:t>
      </w:r>
    </w:p>
    <w:p w14:paraId="477CEBD6" w14:textId="73A44C18" w:rsidR="00B37FF9" w:rsidRPr="00B37FF9" w:rsidRDefault="00B37FF9" w:rsidP="00B37FF9">
      <w:pPr>
        <w:pStyle w:val="Sottotitolo"/>
        <w:numPr>
          <w:ilvl w:val="0"/>
          <w:numId w:val="11"/>
        </w:numPr>
      </w:pPr>
      <w:r w:rsidRPr="00B37FF9">
        <w:t>prevedere al termine del percorso formativo una verifica finale con il rilascio di un attestato di frequenza con profitto.</w:t>
      </w:r>
    </w:p>
    <w:p w14:paraId="100B2C08" w14:textId="387C175E" w:rsidR="00B37FF9" w:rsidRDefault="00B37FF9" w:rsidP="00B37FF9">
      <w:pPr>
        <w:rPr>
          <w:rFonts w:eastAsiaTheme="minorHAnsi"/>
          <w:lang w:eastAsia="en-US"/>
        </w:rPr>
      </w:pPr>
      <w:r>
        <w:rPr>
          <w:rFonts w:eastAsiaTheme="minorHAnsi"/>
          <w:lang w:eastAsia="en-US"/>
        </w:rPr>
        <w:t>4. Le attività di aggiornamento professionale nelle rispettive tematiche di consulenza sono obbligatorie per tutti i consulenti e dovranno svolgersi con periodicità almeno triennale.</w:t>
      </w:r>
    </w:p>
    <w:p w14:paraId="6112888B" w14:textId="3DA43B7E" w:rsidR="00B37FF9" w:rsidRDefault="00B37FF9" w:rsidP="00B37FF9">
      <w:pPr>
        <w:rPr>
          <w:rFonts w:eastAsiaTheme="minorHAnsi"/>
          <w:lang w:eastAsia="en-US"/>
        </w:rPr>
      </w:pPr>
      <w:r>
        <w:rPr>
          <w:rFonts w:eastAsiaTheme="minorHAnsi"/>
          <w:lang w:eastAsia="en-US"/>
        </w:rPr>
        <w:t>5. Per gli iscritti agli ordini e ai collegi professionali viene assunta come valida e sufficiente la formazione prevista dai rispettivi piani formativi e di aggiornamento professionale, ai sensi del decreto del Presidente della Repubblica 7 agosto 2012, n. 137.</w:t>
      </w:r>
    </w:p>
    <w:p w14:paraId="596B75DF" w14:textId="10607A4C" w:rsidR="00B37FF9" w:rsidRDefault="00B37FF9" w:rsidP="00B37FF9">
      <w:pPr>
        <w:rPr>
          <w:rFonts w:eastAsiaTheme="minorHAnsi"/>
          <w:lang w:eastAsia="en-US"/>
        </w:rPr>
      </w:pPr>
      <w:r>
        <w:rPr>
          <w:rFonts w:eastAsiaTheme="minorHAnsi"/>
          <w:lang w:eastAsia="en-US"/>
        </w:rPr>
        <w:t>6. Le attività di aggiornamento professionale devono rispettare i seguenti criteri minimi:</w:t>
      </w:r>
    </w:p>
    <w:p w14:paraId="3077BAFD" w14:textId="42241B3F" w:rsidR="00B37FF9" w:rsidRPr="00B37FF9" w:rsidRDefault="00B37FF9" w:rsidP="00B37FF9">
      <w:pPr>
        <w:pStyle w:val="Sottotitolo"/>
        <w:numPr>
          <w:ilvl w:val="0"/>
          <w:numId w:val="13"/>
        </w:numPr>
      </w:pPr>
      <w:r w:rsidRPr="00B37FF9">
        <w:t>essere svolte da soggetti pubblici, enti riconosciuti o enti di formazione accreditati, a livello regionale, nazionale o unionale;</w:t>
      </w:r>
    </w:p>
    <w:p w14:paraId="39E02676" w14:textId="197FB169" w:rsidR="00B37FF9" w:rsidRPr="00B37FF9" w:rsidRDefault="00B37FF9" w:rsidP="00B37FF9">
      <w:pPr>
        <w:pStyle w:val="Sottotitolo"/>
        <w:numPr>
          <w:ilvl w:val="0"/>
          <w:numId w:val="11"/>
        </w:numPr>
      </w:pPr>
      <w:r w:rsidRPr="00B37FF9">
        <w:t>avere una durata non inferiore a 12 ore in ciascuna delle tematiche per le quali si intende svolgere il servizio di consulenza;</w:t>
      </w:r>
    </w:p>
    <w:p w14:paraId="45D41FE8" w14:textId="6B23B282" w:rsidR="00B37FF9" w:rsidRPr="00B37FF9" w:rsidRDefault="00B37FF9" w:rsidP="00B37FF9">
      <w:pPr>
        <w:pStyle w:val="Sottotitolo"/>
        <w:numPr>
          <w:ilvl w:val="0"/>
          <w:numId w:val="11"/>
        </w:numPr>
      </w:pPr>
      <w:r w:rsidRPr="00B37FF9">
        <w:t>prevedere al termine del percorso formativo una verifica finale con il rilascio di un attestato di frequenza.</w:t>
      </w:r>
    </w:p>
    <w:p w14:paraId="1632DFC0" w14:textId="211ACD88" w:rsidR="00B37FF9" w:rsidRDefault="00B37FF9" w:rsidP="00B37FF9">
      <w:pPr>
        <w:rPr>
          <w:rFonts w:eastAsiaTheme="minorHAnsi"/>
          <w:lang w:eastAsia="en-US"/>
        </w:rPr>
      </w:pPr>
      <w:r>
        <w:rPr>
          <w:rFonts w:eastAsiaTheme="minorHAnsi"/>
          <w:lang w:eastAsia="en-US"/>
        </w:rPr>
        <w:t>7. Per i corsi di formazione di base e di aggiornamento, di cui ai commi 3 e 6, la frequenza è obbligatoria e deve essere pari o superiore al 75% delle ore di corso previste.</w:t>
      </w:r>
    </w:p>
    <w:p w14:paraId="12BB06AA" w14:textId="183237C2" w:rsidR="00B37FF9" w:rsidRPr="00B37FF9" w:rsidRDefault="00B37FF9" w:rsidP="00B37FF9">
      <w:r>
        <w:rPr>
          <w:rFonts w:eastAsiaTheme="minorHAnsi"/>
          <w:lang w:eastAsia="en-US"/>
        </w:rPr>
        <w:t>8. L'abilitazione all'esercizio dell’attività di consulente in materia di utilizzo sostenibile dei prodotti fitosanitari è regolamentata dall'art. 8, comma 3, del decreto legislativo 14 agosto 2012, n. 150 e dal capitolo A.1 del Piano d'azione nazionale per l'uso sostenibile dei prodotti fitosanitari, adottato con decreto del Ministro delle politiche agricole alimentari e forestali, adottato di concerto con i Ministri dell'ambiente e della tutela del territorio e del mare e della salute, d'intesa con la Conferenza permanente per i rapporti tra lo Stato, le regioni e le Province autonome di Trento e di Bolzano, del 22 gennaio 2014.</w:t>
      </w:r>
    </w:p>
    <w:sectPr w:rsidR="00B37FF9" w:rsidRPr="00B37FF9" w:rsidSect="00992C11">
      <w:headerReference w:type="default" r:id="rId12"/>
      <w:pgSz w:w="11906" w:h="16838"/>
      <w:pgMar w:top="1108" w:right="1134" w:bottom="1134"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4F597" w14:textId="77777777" w:rsidR="00FC2AD6" w:rsidRDefault="00FC2AD6" w:rsidP="00992C11">
      <w:pPr>
        <w:spacing w:after="0" w:line="240" w:lineRule="auto"/>
      </w:pPr>
      <w:r>
        <w:separator/>
      </w:r>
    </w:p>
  </w:endnote>
  <w:endnote w:type="continuationSeparator" w:id="0">
    <w:p w14:paraId="37B607EC" w14:textId="77777777" w:rsidR="00FC2AD6" w:rsidRDefault="00FC2AD6" w:rsidP="00992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25925" w14:textId="77777777" w:rsidR="00FC2AD6" w:rsidRDefault="00FC2AD6" w:rsidP="00992C11">
      <w:pPr>
        <w:spacing w:after="0" w:line="240" w:lineRule="auto"/>
      </w:pPr>
      <w:r>
        <w:separator/>
      </w:r>
    </w:p>
  </w:footnote>
  <w:footnote w:type="continuationSeparator" w:id="0">
    <w:p w14:paraId="54FD86DC" w14:textId="77777777" w:rsidR="00FC2AD6" w:rsidRDefault="00FC2AD6" w:rsidP="00992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3E89" w14:textId="2DA3EED0" w:rsidR="00992C11" w:rsidRPr="00992C11" w:rsidRDefault="00992C11" w:rsidP="00992C11">
    <w:pPr>
      <w:tabs>
        <w:tab w:val="left" w:pos="4200"/>
        <w:tab w:val="center" w:pos="4819"/>
        <w:tab w:val="right" w:pos="9638"/>
      </w:tabs>
      <w:spacing w:after="0" w:line="240" w:lineRule="auto"/>
      <w:rPr>
        <w:b/>
        <w:bCs/>
        <w:i/>
        <w:iCs/>
        <w:color w:val="808080" w:themeColor="background1" w:themeShade="80"/>
        <w:sz w:val="18"/>
        <w:szCs w:val="18"/>
      </w:rPr>
    </w:pPr>
    <w:r w:rsidRPr="00992C11">
      <w:rPr>
        <w:b/>
        <w:bCs/>
        <w:i/>
        <w:iCs/>
        <w:color w:val="808080" w:themeColor="background1" w:themeShade="80"/>
        <w:sz w:val="18"/>
        <w:szCs w:val="18"/>
      </w:rPr>
      <w:t xml:space="preserve">PSP Sicilia 2023-2027 – Intervento SRG01 </w:t>
    </w:r>
    <w:r w:rsidRPr="00992C11">
      <w:rPr>
        <w:b/>
        <w:bCs/>
        <w:i/>
        <w:iCs/>
        <w:color w:val="808080" w:themeColor="background1" w:themeShade="80"/>
        <w:sz w:val="18"/>
        <w:szCs w:val="18"/>
      </w:rPr>
      <w:tab/>
    </w:r>
    <w:r w:rsidRPr="00992C11">
      <w:rPr>
        <w:b/>
        <w:bCs/>
        <w:i/>
        <w:iCs/>
        <w:color w:val="808080" w:themeColor="background1" w:themeShade="80"/>
        <w:sz w:val="18"/>
        <w:szCs w:val="18"/>
      </w:rPr>
      <w:tab/>
    </w:r>
    <w:r w:rsidRPr="00992C11">
      <w:rPr>
        <w:b/>
        <w:bCs/>
        <w:i/>
        <w:iCs/>
        <w:color w:val="808080" w:themeColor="background1" w:themeShade="80"/>
        <w:sz w:val="18"/>
        <w:szCs w:val="18"/>
      </w:rPr>
      <w:tab/>
      <w:t xml:space="preserve">   Allegato </w:t>
    </w:r>
    <w:r w:rsidR="00997511">
      <w:rPr>
        <w:b/>
        <w:bCs/>
        <w:i/>
        <w:iCs/>
        <w:color w:val="808080" w:themeColor="background1" w:themeShade="80"/>
        <w:sz w:val="18"/>
        <w:szCs w:val="18"/>
      </w:rPr>
      <w:t>9</w:t>
    </w:r>
    <w:r w:rsidRPr="00992C11">
      <w:rPr>
        <w:b/>
        <w:bCs/>
        <w:i/>
        <w:iCs/>
        <w:color w:val="808080" w:themeColor="background1" w:themeShade="80"/>
        <w:sz w:val="18"/>
        <w:szCs w:val="18"/>
      </w:rPr>
      <w:t xml:space="preserve"> – Requisiti prestatori di consulenza       </w:t>
    </w:r>
  </w:p>
  <w:p w14:paraId="2A32AC10" w14:textId="4D62E7E6" w:rsidR="00992C11" w:rsidRPr="00992C11" w:rsidRDefault="00992C11" w:rsidP="00992C11">
    <w:pPr>
      <w:tabs>
        <w:tab w:val="left" w:pos="4200"/>
        <w:tab w:val="center" w:pos="4819"/>
        <w:tab w:val="right" w:pos="9638"/>
      </w:tabs>
      <w:spacing w:after="0" w:line="240" w:lineRule="auto"/>
      <w:rPr>
        <w:color w:val="808080" w:themeColor="background1" w:themeShade="80"/>
      </w:rPr>
    </w:pPr>
    <w:r w:rsidRPr="00992C11">
      <w:rPr>
        <w:b/>
        <w:bCs/>
        <w:i/>
        <w:iCs/>
        <w:color w:val="808080" w:themeColor="background1" w:themeShade="80"/>
        <w:sz w:val="18"/>
        <w:szCs w:val="18"/>
      </w:rPr>
      <w:t xml:space="preserve">Bando approvato con D.D.G. </w:t>
    </w:r>
    <w:r w:rsidR="0017797D" w:rsidRPr="0017797D">
      <w:rPr>
        <w:b/>
        <w:bCs/>
        <w:i/>
        <w:iCs/>
        <w:color w:val="808080" w:themeColor="background1" w:themeShade="80"/>
        <w:sz w:val="18"/>
        <w:szCs w:val="18"/>
      </w:rPr>
      <w:t>11391/2025 del 11/12/2025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6097F"/>
    <w:multiLevelType w:val="hybridMultilevel"/>
    <w:tmpl w:val="B0986C86"/>
    <w:lvl w:ilvl="0" w:tplc="97BCA5D8">
      <w:start w:val="1"/>
      <w:numFmt w:val="lowerLetter"/>
      <w:pStyle w:val="Sottotitolo"/>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1" w15:restartNumberingAfterBreak="0">
    <w:nsid w:val="3E4F2C15"/>
    <w:multiLevelType w:val="hybridMultilevel"/>
    <w:tmpl w:val="5CA80016"/>
    <w:lvl w:ilvl="0" w:tplc="BA421CB2">
      <w:start w:val="1"/>
      <w:numFmt w:val="lowerLetter"/>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2" w15:restartNumberingAfterBreak="0">
    <w:nsid w:val="409A1F98"/>
    <w:multiLevelType w:val="hybridMultilevel"/>
    <w:tmpl w:val="F09639FA"/>
    <w:lvl w:ilvl="0" w:tplc="04100019">
      <w:start w:val="1"/>
      <w:numFmt w:val="lowerLetter"/>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3" w15:restartNumberingAfterBreak="0">
    <w:nsid w:val="766C525D"/>
    <w:multiLevelType w:val="hybridMultilevel"/>
    <w:tmpl w:val="4C04B710"/>
    <w:lvl w:ilvl="0" w:tplc="6E22B050">
      <w:start w:val="1"/>
      <w:numFmt w:val="decimal"/>
      <w:pStyle w:val="Titolo1"/>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num w:numId="1">
    <w:abstractNumId w:val="0"/>
  </w:num>
  <w:num w:numId="2">
    <w:abstractNumId w:val="1"/>
  </w:num>
  <w:num w:numId="3">
    <w:abstractNumId w:val="2"/>
  </w:num>
  <w:num w:numId="4">
    <w:abstractNumId w:val="3"/>
  </w:num>
  <w:num w:numId="5">
    <w:abstractNumId w:val="3"/>
  </w:num>
  <w:num w:numId="6">
    <w:abstractNumId w:val="0"/>
  </w:num>
  <w:num w:numId="7">
    <w:abstractNumId w:val="0"/>
    <w:lvlOverride w:ilvl="0">
      <w:startOverride w:val="1"/>
    </w:lvlOverride>
  </w:num>
  <w:num w:numId="8">
    <w:abstractNumId w:val="0"/>
  </w:num>
  <w:num w:numId="9">
    <w:abstractNumId w:val="0"/>
    <w:lvlOverride w:ilvl="0">
      <w:startOverride w:val="1"/>
    </w:lvlOverride>
  </w:num>
  <w:num w:numId="10">
    <w:abstractNumId w:val="0"/>
  </w:num>
  <w:num w:numId="11">
    <w:abstractNumId w:val="0"/>
    <w:lvlOverride w:ilvl="0">
      <w:startOverride w:val="1"/>
    </w:lvlOverride>
  </w:num>
  <w:num w:numId="12">
    <w:abstractNumId w:val="0"/>
  </w:num>
  <w:num w:numId="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29"/>
    <w:rsid w:val="0017797D"/>
    <w:rsid w:val="003F5D8C"/>
    <w:rsid w:val="00564022"/>
    <w:rsid w:val="008A7356"/>
    <w:rsid w:val="00992C11"/>
    <w:rsid w:val="00997511"/>
    <w:rsid w:val="00B37FF9"/>
    <w:rsid w:val="00BC4E29"/>
    <w:rsid w:val="00DA6BA1"/>
    <w:rsid w:val="00FC2A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4BD8F"/>
  <w15:chartTrackingRefBased/>
  <w15:docId w15:val="{806F5AD4-A57C-4313-9E90-69F7A92F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C4E29"/>
    <w:pPr>
      <w:spacing w:line="360" w:lineRule="auto"/>
      <w:ind w:firstLine="340"/>
      <w:jc w:val="both"/>
    </w:pPr>
    <w:rPr>
      <w:rFonts w:ascii="Times New Roman" w:eastAsia="Times New Roman" w:hAnsi="Times New Roman" w:cs="Times New Roman"/>
      <w:kern w:val="1"/>
      <w:sz w:val="24"/>
      <w:szCs w:val="20"/>
      <w:lang w:eastAsia="ar-SA"/>
    </w:rPr>
  </w:style>
  <w:style w:type="paragraph" w:styleId="Titolo1">
    <w:name w:val="heading 1"/>
    <w:basedOn w:val="Sottotitolo"/>
    <w:next w:val="Normale"/>
    <w:link w:val="Titolo1Carattere"/>
    <w:uiPriority w:val="9"/>
    <w:qFormat/>
    <w:rsid w:val="00BC4E29"/>
    <w:pPr>
      <w:numPr>
        <w:numId w:val="4"/>
      </w:numPr>
      <w:spacing w:before="600" w:after="360"/>
      <w:ind w:left="1054" w:hanging="357"/>
      <w:outlineLvl w:val="0"/>
    </w:pPr>
    <w:rPr>
      <w:b/>
      <w:b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4E29"/>
    <w:pPr>
      <w:ind w:left="720"/>
      <w:contextualSpacing/>
    </w:pPr>
  </w:style>
  <w:style w:type="paragraph" w:styleId="Sottotitolo">
    <w:name w:val="Subtitle"/>
    <w:basedOn w:val="Paragrafoelenco"/>
    <w:next w:val="Normale"/>
    <w:link w:val="SottotitoloCarattere"/>
    <w:uiPriority w:val="11"/>
    <w:qFormat/>
    <w:rsid w:val="00BC4E29"/>
    <w:pPr>
      <w:numPr>
        <w:numId w:val="1"/>
      </w:numPr>
      <w:spacing w:after="60"/>
      <w:contextualSpacing w:val="0"/>
    </w:pPr>
  </w:style>
  <w:style w:type="character" w:customStyle="1" w:styleId="SottotitoloCarattere">
    <w:name w:val="Sottotitolo Carattere"/>
    <w:basedOn w:val="Carpredefinitoparagrafo"/>
    <w:link w:val="Sottotitolo"/>
    <w:uiPriority w:val="11"/>
    <w:rsid w:val="00BC4E29"/>
    <w:rPr>
      <w:rFonts w:ascii="Times New Roman" w:eastAsia="Times New Roman" w:hAnsi="Times New Roman" w:cs="Times New Roman"/>
      <w:kern w:val="1"/>
      <w:sz w:val="24"/>
      <w:szCs w:val="20"/>
      <w:lang w:eastAsia="ar-SA"/>
    </w:rPr>
  </w:style>
  <w:style w:type="character" w:customStyle="1" w:styleId="Titolo1Carattere">
    <w:name w:val="Titolo 1 Carattere"/>
    <w:basedOn w:val="Carpredefinitoparagrafo"/>
    <w:link w:val="Titolo1"/>
    <w:uiPriority w:val="9"/>
    <w:rsid w:val="00BC4E29"/>
    <w:rPr>
      <w:rFonts w:ascii="Times New Roman" w:eastAsia="Times New Roman" w:hAnsi="Times New Roman" w:cs="Times New Roman"/>
      <w:b/>
      <w:bCs/>
      <w:kern w:val="1"/>
      <w:sz w:val="24"/>
      <w:szCs w:val="20"/>
      <w:u w:val="single"/>
      <w:lang w:eastAsia="ar-SA"/>
    </w:rPr>
  </w:style>
  <w:style w:type="paragraph" w:styleId="Intestazione">
    <w:name w:val="header"/>
    <w:basedOn w:val="Normale"/>
    <w:link w:val="IntestazioneCarattere"/>
    <w:uiPriority w:val="99"/>
    <w:unhideWhenUsed/>
    <w:rsid w:val="00992C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2C11"/>
    <w:rPr>
      <w:rFonts w:ascii="Times New Roman" w:eastAsia="Times New Roman" w:hAnsi="Times New Roman" w:cs="Times New Roman"/>
      <w:kern w:val="1"/>
      <w:sz w:val="24"/>
      <w:szCs w:val="20"/>
      <w:lang w:eastAsia="ar-SA"/>
    </w:rPr>
  </w:style>
  <w:style w:type="paragraph" w:styleId="Pidipagina">
    <w:name w:val="footer"/>
    <w:basedOn w:val="Normale"/>
    <w:link w:val="PidipaginaCarattere"/>
    <w:uiPriority w:val="99"/>
    <w:unhideWhenUsed/>
    <w:rsid w:val="00992C1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2C11"/>
    <w:rPr>
      <w:rFonts w:ascii="Times New Roman" w:eastAsia="Times New Roman" w:hAnsi="Times New Roman" w:cs="Times New Roman"/>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A0135-B983-4DF2-9D97-2BE9D1C0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1124</Words>
  <Characters>6407</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Dipartimento Regionale dell'Agricoltura</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Gero Tornambè Reg. Siciliana</dc:creator>
  <cp:keywords/>
  <dc:description/>
  <cp:lastModifiedBy>Antonino Drago</cp:lastModifiedBy>
  <cp:revision>5</cp:revision>
  <dcterms:created xsi:type="dcterms:W3CDTF">2025-10-13T07:13:00Z</dcterms:created>
  <dcterms:modified xsi:type="dcterms:W3CDTF">2025-12-11T10:44:00Z</dcterms:modified>
</cp:coreProperties>
</file>